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90" w:rsidRDefault="00166D90">
      <w:r>
        <w:t>VILLE DE JUVIGNAC 34990</w:t>
      </w:r>
    </w:p>
    <w:p w:rsidR="00DB6A3E" w:rsidRDefault="00166D90">
      <w:r>
        <w:t>MARCHE A BONS DE C</w:t>
      </w:r>
      <w:r w:rsidR="009E1539">
        <w:t xml:space="preserve">OMMANDE </w:t>
      </w:r>
      <w:r w:rsidR="00B948A4">
        <w:t xml:space="preserve"> FOURNITURE </w:t>
      </w:r>
      <w:r w:rsidR="00EE2166">
        <w:t>NEONS LEDS</w:t>
      </w:r>
    </w:p>
    <w:p w:rsidR="00DB6A3E" w:rsidRPr="0074179D" w:rsidRDefault="00DB6A3E" w:rsidP="00DB6A3E">
      <w:pPr>
        <w:rPr>
          <w:sz w:val="32"/>
          <w:szCs w:val="32"/>
          <w14:shadow w14:blurRad="50800" w14:dist="38100" w14:dir="2700000" w14:sx="100000" w14:sy="100000" w14:kx="0" w14:ky="0" w14:algn="tl">
            <w14:srgbClr w14:val="000000">
              <w14:alpha w14:val="60000"/>
            </w14:srgbClr>
          </w14:shadow>
        </w:rPr>
      </w:pPr>
      <w:r w:rsidRPr="0074179D">
        <w:rPr>
          <w:sz w:val="32"/>
          <w:szCs w:val="32"/>
          <w14:shadow w14:blurRad="50800" w14:dist="38100" w14:dir="2700000" w14:sx="100000" w14:sy="100000" w14:kx="0" w14:ky="0" w14:algn="tl">
            <w14:srgbClr w14:val="000000">
              <w14:alpha w14:val="60000"/>
            </w14:srgbClr>
          </w14:shadow>
        </w:rPr>
        <w:t>Classement des offres :</w:t>
      </w:r>
      <w:bookmarkStart w:id="0" w:name="_GoBack"/>
      <w:bookmarkEnd w:id="0"/>
    </w:p>
    <w:p w:rsidR="00DB6A3E" w:rsidRDefault="00DB6A3E" w:rsidP="00DB6A3E">
      <w:pPr>
        <w:rPr>
          <w:sz w:val="24"/>
          <w:szCs w:val="24"/>
        </w:rPr>
      </w:pPr>
      <w:r>
        <w:t xml:space="preserve">Les critères de choix sont : </w:t>
      </w:r>
    </w:p>
    <w:p w:rsidR="00DB6A3E" w:rsidRDefault="00DB6A3E" w:rsidP="00DB6A3E">
      <w:pPr>
        <w:numPr>
          <w:ilvl w:val="0"/>
          <w:numId w:val="1"/>
        </w:numPr>
        <w:spacing w:after="0" w:line="240" w:lineRule="auto"/>
      </w:pPr>
      <w:r>
        <w:t xml:space="preserve">prix de la prestation : </w:t>
      </w:r>
      <w:r w:rsidR="00B948A4">
        <w:t>60 %</w:t>
      </w:r>
    </w:p>
    <w:p w:rsidR="00DB6A3E" w:rsidRPr="0074179D" w:rsidRDefault="00DB6A3E" w:rsidP="00DB6A3E">
      <w:pPr>
        <w:numPr>
          <w:ilvl w:val="0"/>
          <w:numId w:val="1"/>
        </w:numPr>
        <w:spacing w:after="0" w:line="240" w:lineRule="auto"/>
        <w:rPr>
          <w14:shadow w14:blurRad="50800" w14:dist="38100" w14:dir="2700000" w14:sx="100000" w14:sy="100000" w14:kx="0" w14:ky="0" w14:algn="tl">
            <w14:srgbClr w14:val="000000">
              <w14:alpha w14:val="60000"/>
            </w14:srgbClr>
          </w14:shadow>
        </w:rPr>
      </w:pPr>
      <w:r>
        <w:t>valeur technique</w:t>
      </w:r>
      <w:r w:rsidR="000B239B">
        <w:t xml:space="preserve"> </w:t>
      </w:r>
      <w:r>
        <w:t xml:space="preserve">de l’offre : </w:t>
      </w:r>
      <w:r w:rsidR="00B948A4">
        <w:t>40</w:t>
      </w:r>
      <w:r>
        <w:t xml:space="preserve"> %</w:t>
      </w:r>
    </w:p>
    <w:p w:rsidR="00DB6A3E" w:rsidRDefault="00DB6A3E" w:rsidP="00DB6A3E">
      <w:pPr>
        <w:rPr>
          <w:sz w:val="24"/>
          <w:szCs w:val="32"/>
        </w:rPr>
      </w:pPr>
    </w:p>
    <w:p w:rsidR="00DB6A3E" w:rsidRDefault="00DB6A3E" w:rsidP="00DB6A3E">
      <w:pPr>
        <w:rPr>
          <w:szCs w:val="32"/>
        </w:rPr>
      </w:pPr>
      <w:r>
        <w:rPr>
          <w:szCs w:val="32"/>
        </w:rPr>
        <w:t xml:space="preserve">Le critère du choix « prix » est noté sur </w:t>
      </w:r>
      <w:r w:rsidR="004B30F4">
        <w:rPr>
          <w:szCs w:val="32"/>
        </w:rPr>
        <w:t>2</w:t>
      </w:r>
      <w:r>
        <w:rPr>
          <w:szCs w:val="32"/>
        </w:rPr>
        <w:t>0 et de la façon suivante :</w:t>
      </w:r>
    </w:p>
    <w:p w:rsidR="004B30F4" w:rsidRPr="004B30F4" w:rsidRDefault="004B30F4" w:rsidP="004B30F4">
      <w:pPr>
        <w:spacing w:before="100" w:beforeAutospacing="1" w:after="100" w:afterAutospacing="1" w:line="240" w:lineRule="auto"/>
        <w:rPr>
          <w:lang w:eastAsia="fr-FR"/>
        </w:rPr>
      </w:pPr>
      <w:r w:rsidRPr="004B30F4">
        <w:rPr>
          <w:lang w:eastAsia="fr-FR"/>
        </w:rPr>
        <w:t xml:space="preserve">Note financière = Note maxi * (Prix moyen)/ (Prix moyen + Prix Offre) </w:t>
      </w:r>
    </w:p>
    <w:p w:rsidR="004B30F4" w:rsidRPr="004B30F4" w:rsidRDefault="004B30F4" w:rsidP="004B30F4">
      <w:pPr>
        <w:spacing w:before="100" w:beforeAutospacing="1" w:after="100" w:afterAutospacing="1" w:line="240" w:lineRule="auto"/>
        <w:rPr>
          <w:lang w:eastAsia="fr-FR"/>
        </w:rPr>
      </w:pPr>
      <w:r w:rsidRPr="004B30F4">
        <w:rPr>
          <w:lang w:eastAsia="fr-FR"/>
        </w:rPr>
        <w:t xml:space="preserve">Cette formule présente l’avantage de « lisser » les notes financières au regard des notes techniques, et donc de mettre en avant la valeur technique d’une offre, elle permet une graduation de la note prix respectueuse des principes de base de l’analyse multicritères. </w:t>
      </w:r>
    </w:p>
    <w:p w:rsidR="004B30F4" w:rsidRPr="001D1E74" w:rsidRDefault="004B30F4" w:rsidP="004B30F4">
      <w:pPr>
        <w:spacing w:before="100" w:beforeAutospacing="1" w:after="100" w:afterAutospacing="1" w:line="240" w:lineRule="auto"/>
        <w:rPr>
          <w:u w:val="single"/>
          <w:lang w:eastAsia="fr-FR"/>
        </w:rPr>
      </w:pPr>
      <w:r w:rsidRPr="004B30F4">
        <w:rPr>
          <w:lang w:eastAsia="fr-FR"/>
        </w:rPr>
        <w:t>Elle respecte les éléments suivants :</w:t>
      </w:r>
      <w:r w:rsidRPr="004B30F4">
        <w:rPr>
          <w:lang w:eastAsia="fr-FR"/>
        </w:rPr>
        <w:br/>
        <w:t>- note la plus élevée pour le prix minimum</w:t>
      </w:r>
      <w:r w:rsidRPr="004B30F4">
        <w:rPr>
          <w:lang w:eastAsia="fr-FR"/>
        </w:rPr>
        <w:br/>
        <w:t>- note la plus basse pour le prix maximum</w:t>
      </w:r>
      <w:r w:rsidRPr="004B30F4">
        <w:rPr>
          <w:lang w:eastAsia="fr-FR"/>
        </w:rPr>
        <w:br/>
        <w:t>- notes différentes pour deux prix différents</w:t>
      </w:r>
      <w:r w:rsidRPr="004B30F4">
        <w:rPr>
          <w:lang w:eastAsia="fr-FR"/>
        </w:rPr>
        <w:br/>
      </w:r>
      <w:r w:rsidRPr="001D1E74">
        <w:rPr>
          <w:lang w:eastAsia="fr-FR"/>
        </w:rPr>
        <w:t>- note moyenne pour le prix moyen</w:t>
      </w:r>
    </w:p>
    <w:p w:rsidR="00DB6A3E" w:rsidRDefault="00DB6A3E" w:rsidP="00DB6A3E">
      <w:pPr>
        <w:rPr>
          <w:szCs w:val="32"/>
        </w:rPr>
      </w:pPr>
      <w:r>
        <w:rPr>
          <w:szCs w:val="32"/>
        </w:rPr>
        <w:t xml:space="preserve">Le critère de choix « valeur technique » est noté sur </w:t>
      </w:r>
      <w:r w:rsidR="004B30F4">
        <w:rPr>
          <w:szCs w:val="32"/>
        </w:rPr>
        <w:t>2</w:t>
      </w:r>
      <w:r>
        <w:rPr>
          <w:szCs w:val="32"/>
        </w:rPr>
        <w:t>0 et de la façon suivante :</w:t>
      </w:r>
    </w:p>
    <w:p w:rsidR="00DB6A3E" w:rsidRDefault="00DB6A3E" w:rsidP="00DB6A3E">
      <w:pPr>
        <w:rPr>
          <w:szCs w:val="32"/>
        </w:rPr>
      </w:pPr>
    </w:p>
    <w:tbl>
      <w:tblPr>
        <w:tblW w:w="8580" w:type="dxa"/>
        <w:tblInd w:w="55" w:type="dxa"/>
        <w:tblCellMar>
          <w:left w:w="70" w:type="dxa"/>
          <w:right w:w="70" w:type="dxa"/>
        </w:tblCellMar>
        <w:tblLook w:val="04A0" w:firstRow="1" w:lastRow="0" w:firstColumn="1" w:lastColumn="0" w:noHBand="0" w:noVBand="1"/>
      </w:tblPr>
      <w:tblGrid>
        <w:gridCol w:w="7812"/>
        <w:gridCol w:w="768"/>
      </w:tblGrid>
      <w:tr w:rsidR="00DB6A3E" w:rsidRPr="00761E97" w:rsidTr="006A2E4B">
        <w:trPr>
          <w:trHeight w:val="315"/>
        </w:trPr>
        <w:tc>
          <w:tcPr>
            <w:tcW w:w="7812" w:type="dxa"/>
            <w:tcBorders>
              <w:top w:val="single" w:sz="8" w:space="0" w:color="auto"/>
              <w:left w:val="single" w:sz="8" w:space="0" w:color="auto"/>
              <w:bottom w:val="single" w:sz="4" w:space="0" w:color="auto"/>
              <w:right w:val="nil"/>
            </w:tcBorders>
            <w:noWrap/>
            <w:vAlign w:val="bottom"/>
            <w:hideMark/>
          </w:tcPr>
          <w:p w:rsidR="00DB6A3E" w:rsidRDefault="00DB6A3E">
            <w:pPr>
              <w:jc w:val="center"/>
              <w:rPr>
                <w:rFonts w:ascii="Arial" w:eastAsia="Times New Roman" w:hAnsi="Arial" w:cs="Arial"/>
                <w:b/>
                <w:bCs/>
                <w:sz w:val="24"/>
                <w:szCs w:val="24"/>
              </w:rPr>
            </w:pPr>
            <w:r w:rsidRPr="00761E97">
              <w:rPr>
                <w:rFonts w:ascii="Arial" w:hAnsi="Arial" w:cs="Arial"/>
                <w:b/>
                <w:bCs/>
              </w:rPr>
              <w:t>Critères</w:t>
            </w:r>
          </w:p>
        </w:tc>
        <w:tc>
          <w:tcPr>
            <w:tcW w:w="768" w:type="dxa"/>
            <w:tcBorders>
              <w:top w:val="single" w:sz="8" w:space="0" w:color="auto"/>
              <w:left w:val="single" w:sz="8" w:space="0" w:color="auto"/>
              <w:bottom w:val="single" w:sz="4" w:space="0" w:color="auto"/>
              <w:right w:val="single" w:sz="8" w:space="0" w:color="auto"/>
            </w:tcBorders>
            <w:noWrap/>
            <w:vAlign w:val="bottom"/>
            <w:hideMark/>
          </w:tcPr>
          <w:p w:rsidR="00DB6A3E" w:rsidRDefault="00DB6A3E">
            <w:pPr>
              <w:jc w:val="center"/>
              <w:rPr>
                <w:rFonts w:ascii="Arial" w:eastAsia="Times New Roman" w:hAnsi="Arial" w:cs="Arial"/>
                <w:b/>
                <w:bCs/>
                <w:sz w:val="24"/>
                <w:szCs w:val="24"/>
              </w:rPr>
            </w:pPr>
            <w:r w:rsidRPr="00761E97">
              <w:rPr>
                <w:rFonts w:ascii="Arial" w:hAnsi="Arial" w:cs="Arial"/>
                <w:b/>
                <w:bCs/>
              </w:rPr>
              <w:t>Poids</w:t>
            </w:r>
          </w:p>
        </w:tc>
      </w:tr>
      <w:tr w:rsidR="00DB6A3E" w:rsidRPr="00761E97" w:rsidTr="006A2E4B">
        <w:trPr>
          <w:trHeight w:val="300"/>
        </w:trPr>
        <w:tc>
          <w:tcPr>
            <w:tcW w:w="7812" w:type="dxa"/>
            <w:tcBorders>
              <w:top w:val="nil"/>
              <w:left w:val="single" w:sz="8" w:space="0" w:color="auto"/>
              <w:bottom w:val="single" w:sz="4" w:space="0" w:color="auto"/>
              <w:right w:val="nil"/>
            </w:tcBorders>
            <w:hideMark/>
          </w:tcPr>
          <w:p w:rsidR="00DB6A3E" w:rsidRPr="001D1E74" w:rsidRDefault="001D1E74" w:rsidP="003B6623">
            <w:pPr>
              <w:rPr>
                <w:rFonts w:ascii="Arial" w:eastAsia="Times New Roman" w:hAnsi="Arial" w:cs="Arial"/>
                <w:bCs/>
                <w:sz w:val="18"/>
                <w:szCs w:val="18"/>
              </w:rPr>
            </w:pPr>
            <w:r w:rsidRPr="001D1E74">
              <w:rPr>
                <w:rFonts w:ascii="Arial" w:eastAsia="Times New Roman" w:hAnsi="Arial" w:cs="Arial"/>
                <w:bCs/>
                <w:sz w:val="18"/>
                <w:szCs w:val="18"/>
              </w:rPr>
              <w:t>Note de 4 à 5 pages maximum sur la méthodologie appliquée</w:t>
            </w:r>
            <w:r w:rsidR="00B948A4">
              <w:rPr>
                <w:rFonts w:ascii="Arial" w:eastAsia="Times New Roman" w:hAnsi="Arial" w:cs="Arial"/>
                <w:bCs/>
                <w:sz w:val="18"/>
                <w:szCs w:val="18"/>
              </w:rPr>
              <w:t xml:space="preserve"> pour répondre au bon déroulement de ce marché</w:t>
            </w:r>
          </w:p>
        </w:tc>
        <w:tc>
          <w:tcPr>
            <w:tcW w:w="768" w:type="dxa"/>
            <w:tcBorders>
              <w:top w:val="nil"/>
              <w:left w:val="single" w:sz="8" w:space="0" w:color="auto"/>
              <w:bottom w:val="single" w:sz="4" w:space="0" w:color="auto"/>
              <w:right w:val="single" w:sz="8" w:space="0" w:color="auto"/>
            </w:tcBorders>
            <w:noWrap/>
            <w:vAlign w:val="bottom"/>
            <w:hideMark/>
          </w:tcPr>
          <w:p w:rsidR="00DB6A3E" w:rsidRPr="001D1E74" w:rsidRDefault="00EE2166">
            <w:pPr>
              <w:jc w:val="center"/>
              <w:rPr>
                <w:rFonts w:ascii="Arial" w:eastAsia="Times New Roman" w:hAnsi="Arial" w:cs="Arial"/>
                <w:bCs/>
                <w:sz w:val="18"/>
                <w:szCs w:val="18"/>
              </w:rPr>
            </w:pPr>
            <w:r>
              <w:rPr>
                <w:rFonts w:ascii="Arial" w:eastAsia="Times New Roman" w:hAnsi="Arial" w:cs="Arial"/>
                <w:bCs/>
                <w:sz w:val="18"/>
                <w:szCs w:val="18"/>
              </w:rPr>
              <w:t>7</w:t>
            </w:r>
          </w:p>
        </w:tc>
      </w:tr>
      <w:tr w:rsidR="00DB6A3E" w:rsidRPr="00761E97" w:rsidTr="006A2E4B">
        <w:trPr>
          <w:trHeight w:val="255"/>
        </w:trPr>
        <w:tc>
          <w:tcPr>
            <w:tcW w:w="7812" w:type="dxa"/>
            <w:tcBorders>
              <w:top w:val="nil"/>
              <w:left w:val="single" w:sz="8" w:space="0" w:color="auto"/>
              <w:bottom w:val="single" w:sz="4" w:space="0" w:color="auto"/>
              <w:right w:val="nil"/>
            </w:tcBorders>
            <w:hideMark/>
          </w:tcPr>
          <w:p w:rsidR="00DB6A3E" w:rsidRDefault="00B948A4" w:rsidP="00EE2166">
            <w:pPr>
              <w:rPr>
                <w:rFonts w:ascii="Arial" w:eastAsia="Times New Roman" w:hAnsi="Arial" w:cs="Arial"/>
                <w:sz w:val="18"/>
                <w:szCs w:val="18"/>
              </w:rPr>
            </w:pPr>
            <w:r>
              <w:rPr>
                <w:rFonts w:ascii="Arial" w:eastAsia="Times New Roman" w:hAnsi="Arial" w:cs="Arial"/>
                <w:sz w:val="18"/>
                <w:szCs w:val="18"/>
              </w:rPr>
              <w:t>Qualité des produits p</w:t>
            </w:r>
            <w:r w:rsidR="00EE2166">
              <w:rPr>
                <w:rFonts w:ascii="Arial" w:eastAsia="Times New Roman" w:hAnsi="Arial" w:cs="Arial"/>
                <w:sz w:val="18"/>
                <w:szCs w:val="18"/>
              </w:rPr>
              <w:t xml:space="preserve">roposés  (efficacité et facilité </w:t>
            </w:r>
            <w:r>
              <w:rPr>
                <w:rFonts w:ascii="Arial" w:eastAsia="Times New Roman" w:hAnsi="Arial" w:cs="Arial"/>
                <w:sz w:val="18"/>
                <w:szCs w:val="18"/>
              </w:rPr>
              <w:t>d’utilisation</w:t>
            </w:r>
            <w:r w:rsidR="00EE2166">
              <w:rPr>
                <w:rFonts w:ascii="Arial" w:eastAsia="Times New Roman" w:hAnsi="Arial" w:cs="Arial"/>
                <w:sz w:val="18"/>
                <w:szCs w:val="18"/>
              </w:rPr>
              <w:t>)</w:t>
            </w:r>
            <w:r w:rsidR="006A2E4B">
              <w:rPr>
                <w:rFonts w:ascii="Arial" w:eastAsia="Times New Roman" w:hAnsi="Arial" w:cs="Arial"/>
                <w:sz w:val="18"/>
                <w:szCs w:val="18"/>
              </w:rPr>
              <w:t xml:space="preserve"> </w:t>
            </w:r>
          </w:p>
        </w:tc>
        <w:tc>
          <w:tcPr>
            <w:tcW w:w="768" w:type="dxa"/>
            <w:tcBorders>
              <w:top w:val="nil"/>
              <w:left w:val="single" w:sz="8" w:space="0" w:color="auto"/>
              <w:bottom w:val="single" w:sz="4" w:space="0" w:color="auto"/>
              <w:right w:val="single" w:sz="8" w:space="0" w:color="auto"/>
            </w:tcBorders>
            <w:noWrap/>
            <w:vAlign w:val="bottom"/>
            <w:hideMark/>
          </w:tcPr>
          <w:p w:rsidR="00DB6A3E" w:rsidRDefault="0074179D" w:rsidP="00460841">
            <w:pPr>
              <w:jc w:val="center"/>
              <w:rPr>
                <w:rFonts w:ascii="Arial" w:eastAsia="Times New Roman" w:hAnsi="Arial" w:cs="Arial"/>
                <w:sz w:val="18"/>
                <w:szCs w:val="18"/>
              </w:rPr>
            </w:pPr>
            <w:r>
              <w:rPr>
                <w:rFonts w:ascii="Arial" w:eastAsia="Times New Roman" w:hAnsi="Arial" w:cs="Arial"/>
                <w:sz w:val="18"/>
                <w:szCs w:val="18"/>
              </w:rPr>
              <w:t>10</w:t>
            </w:r>
          </w:p>
        </w:tc>
      </w:tr>
      <w:tr w:rsidR="00DB6A3E" w:rsidRPr="00761E97" w:rsidTr="006A2E4B">
        <w:trPr>
          <w:trHeight w:val="255"/>
        </w:trPr>
        <w:tc>
          <w:tcPr>
            <w:tcW w:w="7812" w:type="dxa"/>
            <w:tcBorders>
              <w:top w:val="nil"/>
              <w:left w:val="single" w:sz="8" w:space="0" w:color="auto"/>
              <w:bottom w:val="single" w:sz="4" w:space="0" w:color="auto"/>
              <w:right w:val="nil"/>
            </w:tcBorders>
            <w:hideMark/>
          </w:tcPr>
          <w:p w:rsidR="00DB6A3E" w:rsidRDefault="00460841" w:rsidP="0074179D">
            <w:pPr>
              <w:rPr>
                <w:rFonts w:ascii="Arial" w:eastAsia="Times New Roman" w:hAnsi="Arial" w:cs="Arial"/>
                <w:sz w:val="18"/>
                <w:szCs w:val="18"/>
              </w:rPr>
            </w:pPr>
            <w:r>
              <w:rPr>
                <w:rFonts w:ascii="Arial" w:eastAsia="Times New Roman" w:hAnsi="Arial" w:cs="Arial"/>
                <w:sz w:val="18"/>
                <w:szCs w:val="18"/>
              </w:rPr>
              <w:t xml:space="preserve">Délais </w:t>
            </w:r>
            <w:r w:rsidR="006A2E4B">
              <w:rPr>
                <w:rFonts w:ascii="Arial" w:eastAsia="Times New Roman" w:hAnsi="Arial" w:cs="Arial"/>
                <w:sz w:val="18"/>
                <w:szCs w:val="18"/>
              </w:rPr>
              <w:t xml:space="preserve"> de livraison</w:t>
            </w:r>
            <w:r>
              <w:rPr>
                <w:rFonts w:ascii="Arial" w:eastAsia="Times New Roman" w:hAnsi="Arial" w:cs="Arial"/>
                <w:sz w:val="18"/>
                <w:szCs w:val="18"/>
              </w:rPr>
              <w:t xml:space="preserve"> à réception du bon de </w:t>
            </w:r>
            <w:r w:rsidR="0074179D">
              <w:rPr>
                <w:rFonts w:ascii="Arial" w:eastAsia="Times New Roman" w:hAnsi="Arial" w:cs="Arial"/>
                <w:sz w:val="18"/>
                <w:szCs w:val="18"/>
              </w:rPr>
              <w:t>commande. (100% de la commande)</w:t>
            </w:r>
          </w:p>
        </w:tc>
        <w:tc>
          <w:tcPr>
            <w:tcW w:w="768" w:type="dxa"/>
            <w:tcBorders>
              <w:top w:val="nil"/>
              <w:left w:val="single" w:sz="8" w:space="0" w:color="auto"/>
              <w:bottom w:val="single" w:sz="4" w:space="0" w:color="auto"/>
              <w:right w:val="single" w:sz="8" w:space="0" w:color="auto"/>
            </w:tcBorders>
            <w:noWrap/>
            <w:vAlign w:val="bottom"/>
            <w:hideMark/>
          </w:tcPr>
          <w:p w:rsidR="00DB6A3E" w:rsidRDefault="0074179D" w:rsidP="009E1539">
            <w:pPr>
              <w:jc w:val="center"/>
              <w:rPr>
                <w:rFonts w:ascii="Arial" w:eastAsia="Times New Roman" w:hAnsi="Arial" w:cs="Arial"/>
                <w:sz w:val="18"/>
                <w:szCs w:val="18"/>
              </w:rPr>
            </w:pPr>
            <w:r>
              <w:rPr>
                <w:rFonts w:ascii="Arial" w:eastAsia="Times New Roman" w:hAnsi="Arial" w:cs="Arial"/>
                <w:sz w:val="18"/>
                <w:szCs w:val="18"/>
              </w:rPr>
              <w:t>3</w:t>
            </w:r>
          </w:p>
        </w:tc>
      </w:tr>
      <w:tr w:rsidR="00DB6A3E" w:rsidRPr="00761E97" w:rsidTr="006A2E4B">
        <w:trPr>
          <w:trHeight w:val="315"/>
        </w:trPr>
        <w:tc>
          <w:tcPr>
            <w:tcW w:w="7812" w:type="dxa"/>
            <w:tcBorders>
              <w:top w:val="single" w:sz="8" w:space="0" w:color="auto"/>
              <w:left w:val="single" w:sz="8" w:space="0" w:color="auto"/>
              <w:bottom w:val="single" w:sz="8" w:space="0" w:color="auto"/>
              <w:right w:val="nil"/>
            </w:tcBorders>
            <w:noWrap/>
            <w:vAlign w:val="bottom"/>
            <w:hideMark/>
          </w:tcPr>
          <w:p w:rsidR="00DB6A3E" w:rsidRDefault="00DB6A3E">
            <w:pPr>
              <w:rPr>
                <w:rFonts w:ascii="Arial" w:eastAsia="Times New Roman" w:hAnsi="Arial" w:cs="Arial"/>
                <w:b/>
                <w:bCs/>
              </w:rPr>
            </w:pPr>
            <w:r w:rsidRPr="00761E97">
              <w:rPr>
                <w:rFonts w:ascii="Arial" w:hAnsi="Arial" w:cs="Arial"/>
                <w:b/>
                <w:bCs/>
              </w:rPr>
              <w:t>Total</w:t>
            </w:r>
          </w:p>
        </w:tc>
        <w:tc>
          <w:tcPr>
            <w:tcW w:w="768" w:type="dxa"/>
            <w:tcBorders>
              <w:top w:val="single" w:sz="8" w:space="0" w:color="auto"/>
              <w:left w:val="single" w:sz="8" w:space="0" w:color="auto"/>
              <w:bottom w:val="single" w:sz="8" w:space="0" w:color="auto"/>
              <w:right w:val="single" w:sz="8" w:space="0" w:color="auto"/>
            </w:tcBorders>
            <w:noWrap/>
            <w:vAlign w:val="bottom"/>
            <w:hideMark/>
          </w:tcPr>
          <w:p w:rsidR="00DB6A3E" w:rsidRDefault="001D1E74">
            <w:pPr>
              <w:jc w:val="center"/>
              <w:rPr>
                <w:rFonts w:ascii="Arial" w:eastAsia="Times New Roman" w:hAnsi="Arial" w:cs="Arial"/>
                <w:b/>
                <w:bCs/>
              </w:rPr>
            </w:pPr>
            <w:r>
              <w:rPr>
                <w:rFonts w:ascii="Arial" w:hAnsi="Arial" w:cs="Arial"/>
                <w:b/>
                <w:bCs/>
              </w:rPr>
              <w:t>2</w:t>
            </w:r>
            <w:r w:rsidR="00FD11F6">
              <w:rPr>
                <w:rFonts w:ascii="Arial" w:hAnsi="Arial" w:cs="Arial"/>
                <w:b/>
                <w:bCs/>
              </w:rPr>
              <w:t>0</w:t>
            </w:r>
          </w:p>
        </w:tc>
      </w:tr>
      <w:tr w:rsidR="00DB6A3E" w:rsidRPr="00761E97" w:rsidTr="006A2E4B">
        <w:trPr>
          <w:trHeight w:val="255"/>
        </w:trPr>
        <w:tc>
          <w:tcPr>
            <w:tcW w:w="7812" w:type="dxa"/>
            <w:noWrap/>
            <w:vAlign w:val="bottom"/>
            <w:hideMark/>
          </w:tcPr>
          <w:p w:rsidR="00DB6A3E" w:rsidRPr="00761E97" w:rsidRDefault="00DB6A3E">
            <w:pPr>
              <w:rPr>
                <w:sz w:val="20"/>
                <w:szCs w:val="20"/>
              </w:rPr>
            </w:pPr>
          </w:p>
        </w:tc>
        <w:tc>
          <w:tcPr>
            <w:tcW w:w="768" w:type="dxa"/>
            <w:noWrap/>
            <w:vAlign w:val="bottom"/>
            <w:hideMark/>
          </w:tcPr>
          <w:p w:rsidR="00DB6A3E" w:rsidRPr="00761E97" w:rsidRDefault="00DB6A3E">
            <w:pPr>
              <w:rPr>
                <w:sz w:val="20"/>
                <w:szCs w:val="20"/>
              </w:rPr>
            </w:pPr>
          </w:p>
        </w:tc>
      </w:tr>
    </w:tbl>
    <w:p w:rsidR="00DB6A3E" w:rsidRDefault="00DB6A3E"/>
    <w:p w:rsidR="007E2202" w:rsidRDefault="00460841" w:rsidP="00460841">
      <w:pPr>
        <w:ind w:left="360"/>
      </w:pPr>
      <w:r>
        <w:t>Toutes notes supérieures en nombre de page à celle indiquée ci-dessus recevront la note de 0.</w:t>
      </w:r>
    </w:p>
    <w:p w:rsidR="00460841" w:rsidRDefault="00460841" w:rsidP="00460841">
      <w:pPr>
        <w:ind w:left="360"/>
      </w:pPr>
      <w:r>
        <w:t>Les délais annoncés doivent tenir compte des formalités administratives, des délais de commande des fournisseurs…. Tous délais irréalistes se verra appliqué la note de 0.</w:t>
      </w:r>
    </w:p>
    <w:sectPr w:rsidR="00460841" w:rsidSect="00DB6A3E">
      <w:pgSz w:w="11906" w:h="16838"/>
      <w:pgMar w:top="568"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7527D"/>
    <w:multiLevelType w:val="hybridMultilevel"/>
    <w:tmpl w:val="61047444"/>
    <w:lvl w:ilvl="0" w:tplc="6BBA179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3E"/>
    <w:rsid w:val="000B239B"/>
    <w:rsid w:val="000F6EA1"/>
    <w:rsid w:val="00166D90"/>
    <w:rsid w:val="001D1E74"/>
    <w:rsid w:val="00274708"/>
    <w:rsid w:val="003B6623"/>
    <w:rsid w:val="00460841"/>
    <w:rsid w:val="004A19CE"/>
    <w:rsid w:val="004B30F4"/>
    <w:rsid w:val="005E56E9"/>
    <w:rsid w:val="006A2E4B"/>
    <w:rsid w:val="0074179D"/>
    <w:rsid w:val="00761E97"/>
    <w:rsid w:val="007E2202"/>
    <w:rsid w:val="00827F38"/>
    <w:rsid w:val="009A36F0"/>
    <w:rsid w:val="009E1539"/>
    <w:rsid w:val="00A2505B"/>
    <w:rsid w:val="00B35E19"/>
    <w:rsid w:val="00B948A4"/>
    <w:rsid w:val="00C9271B"/>
    <w:rsid w:val="00CA615F"/>
    <w:rsid w:val="00CE08D7"/>
    <w:rsid w:val="00DA3420"/>
    <w:rsid w:val="00DB6A3E"/>
    <w:rsid w:val="00E87C4C"/>
    <w:rsid w:val="00EE2166"/>
    <w:rsid w:val="00F76553"/>
    <w:rsid w:val="00FD11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C4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C4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85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1223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 Dafonseca</dc:creator>
  <cp:lastModifiedBy>Marie-Christine Soprano</cp:lastModifiedBy>
  <cp:revision>3</cp:revision>
  <dcterms:created xsi:type="dcterms:W3CDTF">2014-01-16T09:07:00Z</dcterms:created>
  <dcterms:modified xsi:type="dcterms:W3CDTF">2014-01-16T09:14:00Z</dcterms:modified>
</cp:coreProperties>
</file>